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2D" w:rsidRPr="004045A8" w:rsidRDefault="0039022D" w:rsidP="0039022D">
      <w:pPr>
        <w:spacing w:after="160" w:line="288" w:lineRule="auto"/>
        <w:jc w:val="center"/>
        <w:rPr>
          <w:rFonts w:eastAsiaTheme="minorHAnsi"/>
          <w:b/>
          <w:lang w:eastAsia="en-US"/>
        </w:rPr>
      </w:pPr>
      <w:r w:rsidRPr="004045A8">
        <w:rPr>
          <w:rFonts w:eastAsia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6F51D833" wp14:editId="31E02160">
            <wp:simplePos x="0" y="0"/>
            <wp:positionH relativeFrom="column">
              <wp:posOffset>-460596</wp:posOffset>
            </wp:positionH>
            <wp:positionV relativeFrom="paragraph">
              <wp:posOffset>-596044</wp:posOffset>
            </wp:positionV>
            <wp:extent cx="1626235" cy="1343025"/>
            <wp:effectExtent l="0" t="0" r="0" b="9525"/>
            <wp:wrapNone/>
            <wp:docPr id="1" name="Image 4" descr="C:\Users\USER\Videos\Searches\Tracing\Documents\P2017\ODEP\Logo\Final\ODEP LOGO VERSION FIN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C:\Users\USER\Videos\Searches\Tracing\Documents\P2017\ODEP\Logo\Final\ODEP LOGO VERSION FINA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45A8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D3BA9" wp14:editId="3F96AFCA">
                <wp:simplePos x="0" y="0"/>
                <wp:positionH relativeFrom="column">
                  <wp:posOffset>922876</wp:posOffset>
                </wp:positionH>
                <wp:positionV relativeFrom="paragraph">
                  <wp:posOffset>-360900</wp:posOffset>
                </wp:positionV>
                <wp:extent cx="5170860" cy="952500"/>
                <wp:effectExtent l="0" t="0" r="0" b="0"/>
                <wp:wrapNone/>
                <wp:docPr id="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86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6995" w:rsidRPr="00A31F4A" w:rsidRDefault="00CE6995" w:rsidP="0039022D">
                            <w:pPr>
                              <w:pStyle w:val="NormalWeb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31F4A">
                              <w:rPr>
                                <w:rFonts w:ascii="AR ESSENCE" w:eastAsia="Adobe Gothic Std B" w:hAnsi="AR ESSENCE"/>
                                <w:color w:val="4F81BD"/>
                                <w:kern w:val="24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Observatoire de la D</w:t>
                            </w:r>
                            <w:r w:rsidRPr="00A31F4A">
                              <w:rPr>
                                <w:rFonts w:ascii="AR ESSENCE" w:eastAsia="Adobe Gothic Std B" w:hAnsi="AR ESSENCE" w:cs="Calibri"/>
                                <w:color w:val="4F81BD"/>
                                <w:kern w:val="24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é</w:t>
                            </w:r>
                            <w:r w:rsidRPr="00A31F4A">
                              <w:rPr>
                                <w:rFonts w:ascii="AR ESSENCE" w:eastAsia="Adobe Gothic Std B" w:hAnsi="AR ESSENCE"/>
                                <w:color w:val="4F81BD"/>
                                <w:kern w:val="24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pense Publique</w:t>
                            </w:r>
                          </w:p>
                          <w:p w:rsidR="00CE6995" w:rsidRPr="00A31F4A" w:rsidRDefault="00CE6995" w:rsidP="0039022D">
                            <w:pPr>
                              <w:pStyle w:val="NormalWeb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1F4A">
                              <w:rPr>
                                <w:rFonts w:ascii="Bodoni MT Condensed" w:eastAsia="Kozuka Gothic Pr6N B" w:hAnsi="Bodoni MT Condensed"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Contrôle citoyen des finances publiques de la République Démocratique du Congo</w:t>
                            </w:r>
                          </w:p>
                          <w:p w:rsidR="00CE6995" w:rsidRDefault="00CE6995" w:rsidP="0039022D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7E6D3BA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72.65pt;margin-top:-28.4pt;width:407.15pt;height: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" filled="f" stroked="f" strokeweight=".5pt">
                <v:textbox>
                  <w:txbxContent>
                    <w:p w:rsidR="00CE6995" w:rsidRPr="00A31F4A" w:rsidRDefault="00CE6995" w:rsidP="0039022D">
                      <w:pPr>
                        <w:pStyle w:val="NormalWeb"/>
                        <w:jc w:val="center"/>
                        <w:rPr>
                          <w:sz w:val="48"/>
                          <w:szCs w:val="48"/>
                        </w:rPr>
                      </w:pPr>
                      <w:r w:rsidRPr="00A31F4A">
                        <w:rPr>
                          <w:rFonts w:ascii="AR ESSENCE" w:eastAsia="Adobe Gothic Std B" w:hAnsi="AR ESSENCE"/>
                          <w:color w:val="4F81BD"/>
                          <w:kern w:val="24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Observatoire de la D</w:t>
                      </w:r>
                      <w:r w:rsidRPr="00A31F4A">
                        <w:rPr>
                          <w:rFonts w:ascii="AR ESSENCE" w:eastAsia="Adobe Gothic Std B" w:hAnsi="AR ESSENCE" w:cs="Calibri"/>
                          <w:color w:val="4F81BD"/>
                          <w:kern w:val="24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é</w:t>
                      </w:r>
                      <w:r w:rsidRPr="00A31F4A">
                        <w:rPr>
                          <w:rFonts w:ascii="AR ESSENCE" w:eastAsia="Adobe Gothic Std B" w:hAnsi="AR ESSENCE"/>
                          <w:color w:val="4F81BD"/>
                          <w:kern w:val="24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pense Publique</w:t>
                      </w:r>
                    </w:p>
                    <w:p w:rsidR="00CE6995" w:rsidRPr="00A31F4A" w:rsidRDefault="00CE6995" w:rsidP="0039022D">
                      <w:pPr>
                        <w:pStyle w:val="NormalWeb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31F4A">
                        <w:rPr>
                          <w:rFonts w:ascii="Bodoni MT Condensed" w:eastAsia="Kozuka Gothic Pr6N B" w:hAnsi="Bodoni MT Condensed"/>
                          <w:i/>
                          <w:iCs/>
                          <w:color w:val="FF0000"/>
                          <w:kern w:val="24"/>
                          <w:sz w:val="28"/>
                          <w:szCs w:val="28"/>
                        </w:rPr>
                        <w:t>Contrôle citoyen des finances publiques de la République Démocratique du Congo</w:t>
                      </w:r>
                    </w:p>
                    <w:p w:rsidR="00CE6995" w:rsidRDefault="00CE6995" w:rsidP="0039022D"/>
                  </w:txbxContent>
                </v:textbox>
              </v:shape>
            </w:pict>
          </mc:Fallback>
        </mc:AlternateContent>
      </w:r>
    </w:p>
    <w:p w:rsidR="0039022D" w:rsidRPr="004045A8" w:rsidRDefault="0039022D" w:rsidP="0039022D">
      <w:pPr>
        <w:spacing w:after="160" w:line="288" w:lineRule="auto"/>
        <w:jc w:val="center"/>
        <w:rPr>
          <w:rFonts w:eastAsiaTheme="minorHAnsi"/>
          <w:b/>
          <w:lang w:eastAsia="en-US"/>
        </w:rPr>
      </w:pPr>
      <w:r w:rsidRPr="004045A8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2B9B8" wp14:editId="1EFB7973">
                <wp:simplePos x="0" y="0"/>
                <wp:positionH relativeFrom="column">
                  <wp:posOffset>1478280</wp:posOffset>
                </wp:positionH>
                <wp:positionV relativeFrom="paragraph">
                  <wp:posOffset>90170</wp:posOffset>
                </wp:positionV>
                <wp:extent cx="4064000" cy="0"/>
                <wp:effectExtent l="57150" t="38100" r="50800" b="95250"/>
                <wp:wrapNone/>
                <wp:docPr id="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179093" id="Connecteur droit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7.1pt" to="436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:rsidR="0039022D" w:rsidRDefault="00A93136" w:rsidP="004535DB">
      <w:pPr>
        <w:spacing w:after="160" w:line="288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.</w:t>
      </w:r>
    </w:p>
    <w:p w:rsidR="00A93136" w:rsidRDefault="00A93136" w:rsidP="004535DB">
      <w:pPr>
        <w:spacing w:after="160" w:line="288" w:lineRule="auto"/>
        <w:rPr>
          <w:rFonts w:eastAsiaTheme="minorHAnsi"/>
          <w:b/>
          <w:lang w:eastAsia="en-US"/>
        </w:rPr>
      </w:pPr>
    </w:p>
    <w:p w:rsidR="00C86A58" w:rsidRPr="00A93136" w:rsidRDefault="00C86A58" w:rsidP="00A93136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2"/>
          <w:szCs w:val="32"/>
        </w:rPr>
      </w:pPr>
      <w:r w:rsidRPr="00A93136">
        <w:rPr>
          <w:b/>
          <w:sz w:val="32"/>
          <w:szCs w:val="32"/>
        </w:rPr>
        <w:t>LES PRIX DES PRINCIPAUX PRODUITS DE CONSOMMATION DE 2019-2023</w:t>
      </w:r>
    </w:p>
    <w:p w:rsidR="00CD6D03" w:rsidRPr="00A93136" w:rsidRDefault="00CD6D03" w:rsidP="00C86A58">
      <w:pPr>
        <w:jc w:val="center"/>
        <w:rPr>
          <w:b/>
          <w:sz w:val="32"/>
          <w:szCs w:val="32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1701"/>
      </w:tblGrid>
      <w:tr w:rsidR="00CD6D03" w:rsidTr="00A93136">
        <w:tc>
          <w:tcPr>
            <w:tcW w:w="675" w:type="dxa"/>
            <w:shd w:val="clear" w:color="auto" w:fill="D9D9D9" w:themeFill="background1" w:themeFillShade="D9"/>
          </w:tcPr>
          <w:p w:rsidR="00CD6D03" w:rsidRPr="00A93136" w:rsidRDefault="00A93136" w:rsidP="00A93136">
            <w:pPr>
              <w:spacing w:before="120" w:after="12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A93136">
              <w:rPr>
                <w:rFonts w:eastAsiaTheme="minorHAnsi"/>
                <w:b/>
                <w:sz w:val="26"/>
                <w:szCs w:val="26"/>
                <w:lang w:eastAsia="en-US"/>
              </w:rPr>
              <w:t>N°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CD6D03" w:rsidRPr="00A93136" w:rsidRDefault="00A93136" w:rsidP="00A93136">
            <w:pPr>
              <w:spacing w:before="120" w:after="12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A93136">
              <w:rPr>
                <w:rFonts w:eastAsiaTheme="minorHAnsi"/>
                <w:b/>
                <w:sz w:val="26"/>
                <w:szCs w:val="26"/>
                <w:lang w:eastAsia="en-US"/>
              </w:rPr>
              <w:t>PRODUITS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D6D03" w:rsidRPr="00A93136" w:rsidRDefault="00A93136" w:rsidP="00A93136">
            <w:pPr>
              <w:spacing w:before="120" w:after="12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A93136">
              <w:rPr>
                <w:rFonts w:eastAsiaTheme="minorHAnsi"/>
                <w:b/>
                <w:sz w:val="26"/>
                <w:szCs w:val="26"/>
                <w:lang w:eastAsia="en-US"/>
              </w:rPr>
              <w:t>PRIX 2019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D6D03" w:rsidRPr="00A93136" w:rsidRDefault="00A93136" w:rsidP="00F07706">
            <w:pPr>
              <w:spacing w:before="120" w:after="12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A93136">
              <w:rPr>
                <w:rFonts w:eastAsiaTheme="minorHAnsi"/>
                <w:b/>
                <w:sz w:val="26"/>
                <w:szCs w:val="26"/>
                <w:lang w:eastAsia="en-US"/>
              </w:rPr>
              <w:t>PRIX 202</w:t>
            </w:r>
            <w:r w:rsidR="00F07706">
              <w:rPr>
                <w:rFonts w:eastAsiaTheme="minorHAnsi"/>
                <w:b/>
                <w:sz w:val="26"/>
                <w:szCs w:val="26"/>
                <w:lang w:eastAsia="en-US"/>
              </w:rPr>
              <w:t>3</w:t>
            </w:r>
          </w:p>
        </w:tc>
      </w:tr>
      <w:tr w:rsidR="00CD6D03" w:rsidTr="00A93136">
        <w:trPr>
          <w:trHeight w:val="206"/>
        </w:trPr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 w:rsidRPr="004D54BA"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Sac de riz </w:t>
            </w: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(50 Kg)</w:t>
            </w:r>
          </w:p>
        </w:tc>
        <w:tc>
          <w:tcPr>
            <w:tcW w:w="1559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 w:rsidRPr="004D54BA"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34 000 FC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105 000 FC</w:t>
            </w:r>
          </w:p>
        </w:tc>
      </w:tr>
      <w:tr w:rsidR="00CD6D03" w:rsidTr="00A93136"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Sac de Haricot de Goma (100 Kg « </w:t>
            </w:r>
            <w:proofErr w:type="spellStart"/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Bilbil</w:t>
            </w:r>
            <w:proofErr w:type="spellEnd"/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 »)</w:t>
            </w:r>
          </w:p>
        </w:tc>
        <w:tc>
          <w:tcPr>
            <w:tcW w:w="1559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200 $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250 $</w:t>
            </w:r>
          </w:p>
        </w:tc>
      </w:tr>
      <w:tr w:rsidR="00CD6D03" w:rsidTr="00A93136"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Sac de semoule (25 Kg)</w:t>
            </w:r>
          </w:p>
        </w:tc>
        <w:tc>
          <w:tcPr>
            <w:tcW w:w="1559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40 000 FC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53 500 FC</w:t>
            </w:r>
          </w:p>
        </w:tc>
      </w:tr>
      <w:tr w:rsidR="00CD6D03" w:rsidTr="00A93136">
        <w:trPr>
          <w:trHeight w:val="356"/>
        </w:trPr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Bidon d’huile (25 L)</w:t>
            </w:r>
          </w:p>
        </w:tc>
        <w:tc>
          <w:tcPr>
            <w:tcW w:w="1559" w:type="dxa"/>
            <w:vAlign w:val="center"/>
          </w:tcPr>
          <w:p w:rsidR="00CD6D03" w:rsidRPr="00CD6D03" w:rsidRDefault="00CD6D03" w:rsidP="00AB79C9">
            <w:pPr>
              <w:spacing w:before="120" w:after="120"/>
              <w:rPr>
                <w:rFonts w:ascii="Arial" w:hAnsi="Arial" w:cs="Arial"/>
                <w:bCs/>
                <w:color w:val="333333"/>
                <w:shd w:val="clear" w:color="auto" w:fill="FFFFFF"/>
              </w:rPr>
            </w:pPr>
            <w:r w:rsidRPr="00CD6D03"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65 000 FC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107 000 FC</w:t>
            </w:r>
          </w:p>
        </w:tc>
      </w:tr>
      <w:tr w:rsidR="00CD6D03" w:rsidTr="00A93136"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Sac de farine de Maïs jaune</w:t>
            </w:r>
          </w:p>
        </w:tc>
        <w:tc>
          <w:tcPr>
            <w:tcW w:w="1559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32 000 FC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80 000 FC</w:t>
            </w:r>
          </w:p>
        </w:tc>
      </w:tr>
      <w:tr w:rsidR="00CD6D03" w:rsidTr="00A93136"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Carton de poissons (30+)</w:t>
            </w:r>
          </w:p>
        </w:tc>
        <w:tc>
          <w:tcPr>
            <w:tcW w:w="1559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92 000 FC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170 000 FC</w:t>
            </w:r>
          </w:p>
        </w:tc>
      </w:tr>
      <w:tr w:rsidR="00CD6D03" w:rsidTr="00A93136"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Carton de poulets (P13)</w:t>
            </w:r>
          </w:p>
        </w:tc>
        <w:tc>
          <w:tcPr>
            <w:tcW w:w="1559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60 000 FC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85 000 FC</w:t>
            </w:r>
          </w:p>
        </w:tc>
      </w:tr>
      <w:tr w:rsidR="00CD6D03" w:rsidTr="00A93136"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Baguette de pain (pain victoire)</w:t>
            </w:r>
          </w:p>
        </w:tc>
        <w:tc>
          <w:tcPr>
            <w:tcW w:w="1559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300 FC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500 FC</w:t>
            </w:r>
          </w:p>
        </w:tc>
      </w:tr>
      <w:tr w:rsidR="00CD6D03" w:rsidTr="00A93136">
        <w:tc>
          <w:tcPr>
            <w:tcW w:w="675" w:type="dxa"/>
            <w:vAlign w:val="center"/>
          </w:tcPr>
          <w:p w:rsidR="00CD6D03" w:rsidRDefault="00A93136" w:rsidP="00A931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5387" w:type="dxa"/>
            <w:vAlign w:val="center"/>
          </w:tcPr>
          <w:p w:rsidR="00CD6D03" w:rsidRDefault="00CD6D03" w:rsidP="00AB79C9">
            <w:pPr>
              <w:spacing w:before="120" w:after="120"/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50 Unités de téléphonie mobile</w:t>
            </w:r>
          </w:p>
        </w:tc>
        <w:tc>
          <w:tcPr>
            <w:tcW w:w="1559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1 000 FC</w:t>
            </w:r>
          </w:p>
        </w:tc>
        <w:tc>
          <w:tcPr>
            <w:tcW w:w="1701" w:type="dxa"/>
            <w:vAlign w:val="center"/>
          </w:tcPr>
          <w:p w:rsidR="00CD6D03" w:rsidRDefault="00CD6D03" w:rsidP="00AB79C9">
            <w:pPr>
              <w:spacing w:before="120" w:after="120"/>
              <w:rPr>
                <w:rFonts w:eastAsiaTheme="minorHAnsi"/>
                <w:b/>
                <w:lang w:eastAsia="en-US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hd w:val="clear" w:color="auto" w:fill="FFFFFF"/>
              </w:rPr>
              <w:t>1 500 FC</w:t>
            </w:r>
          </w:p>
        </w:tc>
      </w:tr>
    </w:tbl>
    <w:p w:rsidR="00A060AE" w:rsidRDefault="00A060AE" w:rsidP="00A060AE">
      <w:pPr>
        <w:spacing w:after="160" w:line="288" w:lineRule="auto"/>
        <w:rPr>
          <w:rFonts w:eastAsiaTheme="minorHAnsi"/>
          <w:lang w:eastAsia="en-US"/>
        </w:rPr>
      </w:pPr>
    </w:p>
    <w:p w:rsidR="0039022D" w:rsidRPr="00A060AE" w:rsidRDefault="00A060AE" w:rsidP="00A060AE">
      <w:pPr>
        <w:spacing w:after="160" w:line="288" w:lineRule="auto"/>
        <w:rPr>
          <w:rFonts w:eastAsiaTheme="minorHAnsi"/>
          <w:lang w:eastAsia="en-US"/>
        </w:rPr>
      </w:pPr>
      <w:bookmarkStart w:id="0" w:name="_GoBack"/>
      <w:bookmarkEnd w:id="0"/>
      <w:r w:rsidRPr="00A060AE">
        <w:rPr>
          <w:rFonts w:eastAsiaTheme="minorHAnsi"/>
          <w:lang w:eastAsia="en-US"/>
        </w:rPr>
        <w:t>Source : Observatoire de la Dépense Publique (ODEP)</w:t>
      </w:r>
    </w:p>
    <w:p w:rsidR="00A060AE" w:rsidRDefault="00A060AE" w:rsidP="00A060AE">
      <w:pPr>
        <w:spacing w:after="160" w:line="288" w:lineRule="auto"/>
        <w:jc w:val="right"/>
        <w:rPr>
          <w:rFonts w:eastAsiaTheme="minorHAnsi"/>
          <w:lang w:eastAsia="en-US"/>
        </w:rPr>
      </w:pPr>
    </w:p>
    <w:p w:rsidR="00A060AE" w:rsidRDefault="00A060AE" w:rsidP="00A060AE">
      <w:pPr>
        <w:spacing w:after="160" w:line="288" w:lineRule="auto"/>
        <w:jc w:val="right"/>
        <w:rPr>
          <w:rFonts w:eastAsiaTheme="minorHAnsi"/>
          <w:lang w:eastAsia="en-US"/>
        </w:rPr>
      </w:pPr>
    </w:p>
    <w:p w:rsidR="00A060AE" w:rsidRPr="00A060AE" w:rsidRDefault="00A060AE" w:rsidP="00A060AE">
      <w:pPr>
        <w:spacing w:after="160" w:line="288" w:lineRule="auto"/>
        <w:jc w:val="right"/>
        <w:rPr>
          <w:rFonts w:eastAsiaTheme="minorHAnsi"/>
          <w:lang w:eastAsia="en-US"/>
        </w:rPr>
      </w:pPr>
      <w:r w:rsidRPr="00A060AE">
        <w:rPr>
          <w:rFonts w:eastAsiaTheme="minorHAnsi"/>
          <w:lang w:eastAsia="en-US"/>
        </w:rPr>
        <w:t>Contacts : (+ 243) 897580434 ; 823007510</w:t>
      </w:r>
    </w:p>
    <w:sectPr w:rsidR="00A060AE" w:rsidRPr="00A060AE" w:rsidSect="00DC0485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0D" w:rsidRDefault="004A750D" w:rsidP="00500385">
      <w:r>
        <w:separator/>
      </w:r>
    </w:p>
  </w:endnote>
  <w:endnote w:type="continuationSeparator" w:id="0">
    <w:p w:rsidR="004A750D" w:rsidRDefault="004A750D" w:rsidP="0050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Kozuka Gothic Pr6N B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14134"/>
      <w:docPartObj>
        <w:docPartGallery w:val="Page Numbers (Bottom of Page)"/>
        <w:docPartUnique/>
      </w:docPartObj>
    </w:sdtPr>
    <w:sdtEndPr/>
    <w:sdtContent>
      <w:p w:rsidR="00CE6995" w:rsidRDefault="00CE699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D03">
          <w:rPr>
            <w:noProof/>
          </w:rPr>
          <w:t>2</w:t>
        </w:r>
        <w:r>
          <w:fldChar w:fldCharType="end"/>
        </w:r>
      </w:p>
    </w:sdtContent>
  </w:sdt>
  <w:p w:rsidR="00CE6995" w:rsidRDefault="00CE69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0D" w:rsidRDefault="004A750D" w:rsidP="00500385">
      <w:r>
        <w:separator/>
      </w:r>
    </w:p>
  </w:footnote>
  <w:footnote w:type="continuationSeparator" w:id="0">
    <w:p w:rsidR="004A750D" w:rsidRDefault="004A750D" w:rsidP="0050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417D"/>
    <w:multiLevelType w:val="multilevel"/>
    <w:tmpl w:val="B8C02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2528F5"/>
    <w:multiLevelType w:val="hybridMultilevel"/>
    <w:tmpl w:val="F8FC9E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4F7C"/>
    <w:multiLevelType w:val="hybridMultilevel"/>
    <w:tmpl w:val="134C9922"/>
    <w:lvl w:ilvl="0" w:tplc="C26AD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25AE2"/>
    <w:multiLevelType w:val="hybridMultilevel"/>
    <w:tmpl w:val="98E4C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D28E8"/>
    <w:multiLevelType w:val="hybridMultilevel"/>
    <w:tmpl w:val="790C3A68"/>
    <w:lvl w:ilvl="0" w:tplc="D6D2B6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1472D69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i w:val="0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8B4F6B"/>
    <w:multiLevelType w:val="hybridMultilevel"/>
    <w:tmpl w:val="0228029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063DCA"/>
    <w:multiLevelType w:val="hybridMultilevel"/>
    <w:tmpl w:val="7E98F77C"/>
    <w:lvl w:ilvl="0" w:tplc="194828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27CB6292"/>
    <w:multiLevelType w:val="hybridMultilevel"/>
    <w:tmpl w:val="A0661996"/>
    <w:lvl w:ilvl="0" w:tplc="1472D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47BE7"/>
    <w:multiLevelType w:val="hybridMultilevel"/>
    <w:tmpl w:val="212CD6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0385A"/>
    <w:multiLevelType w:val="hybridMultilevel"/>
    <w:tmpl w:val="4040576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F32C62"/>
    <w:multiLevelType w:val="hybridMultilevel"/>
    <w:tmpl w:val="933E527A"/>
    <w:lvl w:ilvl="0" w:tplc="C26AD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65016"/>
    <w:multiLevelType w:val="hybridMultilevel"/>
    <w:tmpl w:val="07FA6A66"/>
    <w:lvl w:ilvl="0" w:tplc="1472D698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451A3F79"/>
    <w:multiLevelType w:val="hybridMultilevel"/>
    <w:tmpl w:val="776035FC"/>
    <w:lvl w:ilvl="0" w:tplc="1472D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 w:tplc="1472D69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i w:val="0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A3A52D6"/>
    <w:multiLevelType w:val="hybridMultilevel"/>
    <w:tmpl w:val="381E2E14"/>
    <w:lvl w:ilvl="0" w:tplc="1472D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05B29"/>
    <w:multiLevelType w:val="hybridMultilevel"/>
    <w:tmpl w:val="45042B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846A94"/>
    <w:multiLevelType w:val="hybridMultilevel"/>
    <w:tmpl w:val="DC2046F0"/>
    <w:lvl w:ilvl="0" w:tplc="46C42D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6F2636"/>
    <w:multiLevelType w:val="hybridMultilevel"/>
    <w:tmpl w:val="2724D74A"/>
    <w:lvl w:ilvl="0" w:tplc="8CA650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FD2C8F"/>
    <w:multiLevelType w:val="hybridMultilevel"/>
    <w:tmpl w:val="44C6D276"/>
    <w:lvl w:ilvl="0" w:tplc="1472D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 w:tplc="1472D69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i w:val="0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9EC6C0A"/>
    <w:multiLevelType w:val="hybridMultilevel"/>
    <w:tmpl w:val="070E0B06"/>
    <w:lvl w:ilvl="0" w:tplc="1472D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0139A"/>
    <w:multiLevelType w:val="hybridMultilevel"/>
    <w:tmpl w:val="BE880D3C"/>
    <w:lvl w:ilvl="0" w:tplc="98A2FE4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425D47"/>
    <w:multiLevelType w:val="hybridMultilevel"/>
    <w:tmpl w:val="11ECD46C"/>
    <w:lvl w:ilvl="0" w:tplc="B1F0CB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56117"/>
    <w:multiLevelType w:val="hybridMultilevel"/>
    <w:tmpl w:val="09F8D1A6"/>
    <w:lvl w:ilvl="0" w:tplc="1472D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 w:tplc="1472D69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i w:val="0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F855FFC"/>
    <w:multiLevelType w:val="hybridMultilevel"/>
    <w:tmpl w:val="46103940"/>
    <w:lvl w:ilvl="0" w:tplc="1472D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4"/>
  </w:num>
  <w:num w:numId="5">
    <w:abstractNumId w:val="12"/>
  </w:num>
  <w:num w:numId="6">
    <w:abstractNumId w:val="17"/>
  </w:num>
  <w:num w:numId="7">
    <w:abstractNumId w:val="21"/>
  </w:num>
  <w:num w:numId="8">
    <w:abstractNumId w:val="22"/>
  </w:num>
  <w:num w:numId="9">
    <w:abstractNumId w:val="18"/>
  </w:num>
  <w:num w:numId="10">
    <w:abstractNumId w:val="13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9"/>
  </w:num>
  <w:num w:numId="17">
    <w:abstractNumId w:val="3"/>
  </w:num>
  <w:num w:numId="18">
    <w:abstractNumId w:val="14"/>
  </w:num>
  <w:num w:numId="19">
    <w:abstractNumId w:val="8"/>
  </w:num>
  <w:num w:numId="20">
    <w:abstractNumId w:val="19"/>
  </w:num>
  <w:num w:numId="21">
    <w:abstractNumId w:val="15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F3"/>
    <w:rsid w:val="00052D52"/>
    <w:rsid w:val="00165C33"/>
    <w:rsid w:val="00180F2E"/>
    <w:rsid w:val="001849F8"/>
    <w:rsid w:val="00194CE4"/>
    <w:rsid w:val="001963E9"/>
    <w:rsid w:val="002126E5"/>
    <w:rsid w:val="00222654"/>
    <w:rsid w:val="002269C4"/>
    <w:rsid w:val="00247638"/>
    <w:rsid w:val="0026596C"/>
    <w:rsid w:val="00284A2A"/>
    <w:rsid w:val="002D0BA2"/>
    <w:rsid w:val="0039022D"/>
    <w:rsid w:val="003A3D0D"/>
    <w:rsid w:val="003D2F28"/>
    <w:rsid w:val="003E3CA1"/>
    <w:rsid w:val="003F7CF3"/>
    <w:rsid w:val="004045A8"/>
    <w:rsid w:val="00452A6F"/>
    <w:rsid w:val="004535DB"/>
    <w:rsid w:val="004A750D"/>
    <w:rsid w:val="004E6372"/>
    <w:rsid w:val="00500385"/>
    <w:rsid w:val="00524FDB"/>
    <w:rsid w:val="005671BB"/>
    <w:rsid w:val="005837A2"/>
    <w:rsid w:val="005B4D59"/>
    <w:rsid w:val="00605B05"/>
    <w:rsid w:val="00634B15"/>
    <w:rsid w:val="00643107"/>
    <w:rsid w:val="006756C3"/>
    <w:rsid w:val="006C4CF3"/>
    <w:rsid w:val="00710F2C"/>
    <w:rsid w:val="007566F2"/>
    <w:rsid w:val="007603A2"/>
    <w:rsid w:val="00835EC8"/>
    <w:rsid w:val="008560FB"/>
    <w:rsid w:val="0088364E"/>
    <w:rsid w:val="008D0A99"/>
    <w:rsid w:val="008D3444"/>
    <w:rsid w:val="008D4790"/>
    <w:rsid w:val="00947C9B"/>
    <w:rsid w:val="009D4B28"/>
    <w:rsid w:val="00A060AE"/>
    <w:rsid w:val="00A55059"/>
    <w:rsid w:val="00A775AF"/>
    <w:rsid w:val="00A93136"/>
    <w:rsid w:val="00AB79C9"/>
    <w:rsid w:val="00AD7F43"/>
    <w:rsid w:val="00AF63A4"/>
    <w:rsid w:val="00B35A8C"/>
    <w:rsid w:val="00B73363"/>
    <w:rsid w:val="00B931E0"/>
    <w:rsid w:val="00BB3223"/>
    <w:rsid w:val="00BC58DC"/>
    <w:rsid w:val="00BF1FA0"/>
    <w:rsid w:val="00C105F4"/>
    <w:rsid w:val="00C555C9"/>
    <w:rsid w:val="00C75220"/>
    <w:rsid w:val="00C826A3"/>
    <w:rsid w:val="00C86A58"/>
    <w:rsid w:val="00CA7092"/>
    <w:rsid w:val="00CB6D22"/>
    <w:rsid w:val="00CD6D03"/>
    <w:rsid w:val="00CE6995"/>
    <w:rsid w:val="00D57FD6"/>
    <w:rsid w:val="00DC0485"/>
    <w:rsid w:val="00E96EFB"/>
    <w:rsid w:val="00EE2F68"/>
    <w:rsid w:val="00F02EAB"/>
    <w:rsid w:val="00F07706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05B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5B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7C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03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03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03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3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03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385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9022D"/>
  </w:style>
  <w:style w:type="character" w:customStyle="1" w:styleId="Titre1Car">
    <w:name w:val="Titre 1 Car"/>
    <w:basedOn w:val="Policepardfaut"/>
    <w:link w:val="Titre1"/>
    <w:uiPriority w:val="9"/>
    <w:rsid w:val="00605B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05B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5B05"/>
    <w:pPr>
      <w:spacing w:line="259" w:lineRule="auto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605B0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605B0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605B0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605B05"/>
    <w:rPr>
      <w:color w:val="0563C1" w:themeColor="hyperlink"/>
      <w:u w:val="single"/>
    </w:rPr>
  </w:style>
  <w:style w:type="character" w:styleId="Appelnotedebasdep">
    <w:name w:val="footnote reference"/>
    <w:rsid w:val="00C826A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671B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671B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671BB"/>
    <w:rPr>
      <w:vertAlign w:val="superscript"/>
    </w:rPr>
  </w:style>
  <w:style w:type="character" w:styleId="lev">
    <w:name w:val="Strong"/>
    <w:basedOn w:val="Policepardfaut"/>
    <w:uiPriority w:val="22"/>
    <w:qFormat/>
    <w:rsid w:val="004535DB"/>
    <w:rPr>
      <w:b/>
      <w:bCs/>
    </w:rPr>
  </w:style>
  <w:style w:type="table" w:styleId="Grilledutableau">
    <w:name w:val="Table Grid"/>
    <w:basedOn w:val="TableauNormal"/>
    <w:uiPriority w:val="39"/>
    <w:rsid w:val="00CD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05B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5B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7C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03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03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03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3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03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385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9022D"/>
  </w:style>
  <w:style w:type="character" w:customStyle="1" w:styleId="Titre1Car">
    <w:name w:val="Titre 1 Car"/>
    <w:basedOn w:val="Policepardfaut"/>
    <w:link w:val="Titre1"/>
    <w:uiPriority w:val="9"/>
    <w:rsid w:val="00605B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05B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5B05"/>
    <w:pPr>
      <w:spacing w:line="259" w:lineRule="auto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605B0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605B0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605B0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605B05"/>
    <w:rPr>
      <w:color w:val="0563C1" w:themeColor="hyperlink"/>
      <w:u w:val="single"/>
    </w:rPr>
  </w:style>
  <w:style w:type="character" w:styleId="Appelnotedebasdep">
    <w:name w:val="footnote reference"/>
    <w:rsid w:val="00C826A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671B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671B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671BB"/>
    <w:rPr>
      <w:vertAlign w:val="superscript"/>
    </w:rPr>
  </w:style>
  <w:style w:type="character" w:styleId="lev">
    <w:name w:val="Strong"/>
    <w:basedOn w:val="Policepardfaut"/>
    <w:uiPriority w:val="22"/>
    <w:qFormat/>
    <w:rsid w:val="004535DB"/>
    <w:rPr>
      <w:b/>
      <w:bCs/>
    </w:rPr>
  </w:style>
  <w:style w:type="table" w:styleId="Grilledutableau">
    <w:name w:val="Table Grid"/>
    <w:basedOn w:val="TableauNormal"/>
    <w:uiPriority w:val="39"/>
    <w:rsid w:val="00CD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0B52-C8FD-4A57-8846-A2717906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Jordan</cp:lastModifiedBy>
  <cp:revision>2</cp:revision>
  <cp:lastPrinted>2023-06-07T06:31:00Z</cp:lastPrinted>
  <dcterms:created xsi:type="dcterms:W3CDTF">2023-06-07T07:29:00Z</dcterms:created>
  <dcterms:modified xsi:type="dcterms:W3CDTF">2023-06-07T07:29:00Z</dcterms:modified>
</cp:coreProperties>
</file>