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AF" w:rsidRDefault="00B45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30D6D29C" wp14:editId="3C5A8316">
            <wp:simplePos x="0" y="0"/>
            <wp:positionH relativeFrom="margin">
              <wp:posOffset>-104775</wp:posOffset>
            </wp:positionH>
            <wp:positionV relativeFrom="margin">
              <wp:posOffset>-390525</wp:posOffset>
            </wp:positionV>
            <wp:extent cx="1047750" cy="733425"/>
            <wp:effectExtent l="0" t="0" r="0" b="0"/>
            <wp:wrapSquare wrapText="bothSides" distT="0" distB="0" distL="114300" distR="114300"/>
            <wp:docPr id="3" name="image1.jpg" descr="C:\Users\USER\Pictures\LOGOS KOJADEK ET CREFDEL\ENTETE CREFDE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Pictures\LOGOS KOJADEK ET CREFDEL\ENTETE CREFDEL_1.jpg"/>
                    <pic:cNvPicPr preferRelativeResize="0"/>
                  </pic:nvPicPr>
                  <pic:blipFill>
                    <a:blip r:embed="rId8"/>
                    <a:srcRect r="8018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4FAF" w:rsidRDefault="00DB4FAF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COMMUNIQUE N°002/CREFDL/DG.VM/2024</w:t>
      </w:r>
    </w:p>
    <w:p w:rsidR="00DB4FAF" w:rsidRDefault="00FC318E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L’indiscipline budgétaire creuse un déficit de</w:t>
      </w:r>
      <w:r w:rsidR="00281C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1,2 milliard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en 2023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Kinshasa, le 21/03/202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Le Centre de Recherche en Finances Publiques et Développement Local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(CREFDL) </w:t>
      </w:r>
      <w:r w:rsidR="00FC318E">
        <w:rPr>
          <w:rFonts w:ascii="Times New Roman" w:eastAsia="Times New Roman" w:hAnsi="Times New Roman" w:cs="Times New Roman"/>
          <w:color w:val="000000"/>
          <w:sz w:val="24"/>
          <w:szCs w:val="24"/>
        </w:rPr>
        <w:t>a passé en revue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18E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opérations financières du Trésor public effectuées dans le cadre de</w:t>
      </w:r>
      <w:r w:rsidR="00FC3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l’exécution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Loi des finances exercice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Après analyse des docu</w:t>
      </w:r>
      <w:r w:rsidR="00DB617E">
        <w:rPr>
          <w:rFonts w:ascii="Times New Roman" w:eastAsia="Times New Roman" w:hAnsi="Times New Roman" w:cs="Times New Roman"/>
          <w:color w:val="000000"/>
          <w:sz w:val="24"/>
          <w:szCs w:val="24"/>
        </w:rPr>
        <w:t>ments budgétaires publiés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la </w:t>
      </w:r>
      <w:r w:rsidR="00DB6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Banque Centrale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 Congo et le Ministère du Budget</w:t>
      </w:r>
      <w:r w:rsidR="00FC3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RDC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il ressort ce qui suit: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Tableau : Evolution des opérations financière de l’Etat au 29 décembre 2023</w:t>
      </w:r>
    </w:p>
    <w:tbl>
      <w:tblPr>
        <w:tblStyle w:val="a"/>
        <w:tblW w:w="104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417"/>
        <w:gridCol w:w="1597"/>
        <w:gridCol w:w="1531"/>
        <w:gridCol w:w="1238"/>
        <w:gridCol w:w="953"/>
      </w:tblGrid>
      <w:tr w:rsidR="00DB4FAF" w:rsidTr="00EF3FDD">
        <w:trPr>
          <w:trHeight w:val="759"/>
        </w:trPr>
        <w:tc>
          <w:tcPr>
            <w:tcW w:w="3681" w:type="dxa"/>
          </w:tcPr>
          <w:p w:rsidR="00DB4FAF" w:rsidRDefault="00281C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Rubriques</w:t>
            </w:r>
          </w:p>
        </w:tc>
        <w:tc>
          <w:tcPr>
            <w:tcW w:w="1417" w:type="dxa"/>
          </w:tcPr>
          <w:p w:rsidR="00DB4FAF" w:rsidRDefault="00281C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Prévision en </w:t>
            </w:r>
            <w:r w:rsidR="005C54CA">
              <w:rPr>
                <w:b/>
                <w:color w:val="000000"/>
              </w:rPr>
              <w:t xml:space="preserve">millions </w:t>
            </w:r>
            <w:r>
              <w:rPr>
                <w:b/>
                <w:color w:val="000000"/>
              </w:rPr>
              <w:t>CDF</w:t>
            </w:r>
          </w:p>
        </w:tc>
        <w:tc>
          <w:tcPr>
            <w:tcW w:w="1597" w:type="dxa"/>
          </w:tcPr>
          <w:p w:rsidR="00DB4FAF" w:rsidRDefault="00281C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Prévision </w:t>
            </w:r>
            <w:r w:rsidR="00EF3FDD">
              <w:rPr>
                <w:b/>
                <w:color w:val="000000"/>
              </w:rPr>
              <w:t>en million USD</w:t>
            </w:r>
          </w:p>
        </w:tc>
        <w:tc>
          <w:tcPr>
            <w:tcW w:w="1531" w:type="dxa"/>
          </w:tcPr>
          <w:p w:rsidR="00DB4FAF" w:rsidRDefault="00281C70" w:rsidP="00EF3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Exécution/29 décembre</w:t>
            </w:r>
            <w:r w:rsidR="00EF3FDD">
              <w:rPr>
                <w:b/>
                <w:color w:val="000000"/>
              </w:rPr>
              <w:t xml:space="preserve"> en </w:t>
            </w:r>
            <w:r w:rsidR="005C54CA">
              <w:rPr>
                <w:b/>
                <w:color w:val="000000"/>
              </w:rPr>
              <w:t xml:space="preserve">millions </w:t>
            </w:r>
            <w:r w:rsidR="00EF3FDD">
              <w:rPr>
                <w:b/>
                <w:color w:val="000000"/>
              </w:rPr>
              <w:t>CDF</w:t>
            </w:r>
          </w:p>
        </w:tc>
        <w:tc>
          <w:tcPr>
            <w:tcW w:w="1238" w:type="dxa"/>
          </w:tcPr>
          <w:p w:rsidR="00DB4FAF" w:rsidRDefault="00281C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  <w:r>
              <w:rPr>
                <w:b/>
                <w:color w:val="000000"/>
              </w:rPr>
              <w:t xml:space="preserve">ontant </w:t>
            </w:r>
            <w:r w:rsidR="00EF3FDD">
              <w:rPr>
                <w:b/>
                <w:color w:val="000000"/>
              </w:rPr>
              <w:t>en million USD</w:t>
            </w:r>
          </w:p>
        </w:tc>
        <w:tc>
          <w:tcPr>
            <w:tcW w:w="953" w:type="dxa"/>
          </w:tcPr>
          <w:p w:rsidR="00DB4FAF" w:rsidRDefault="00281C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DB4FAF" w:rsidRDefault="00DB4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DB4FAF" w:rsidRDefault="00DB4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DB4FAF" w:rsidRDefault="00DB4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B4FAF" w:rsidRDefault="00DB4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DB4FAF" w:rsidRDefault="00DB4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  <w:shd w:val="clear" w:color="auto" w:fill="FFFF00"/>
          </w:tcPr>
          <w:p w:rsidR="00DB4FAF" w:rsidRPr="00EF3FDD" w:rsidRDefault="00281C70">
            <w:pPr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I. RECETTE</w:t>
            </w:r>
          </w:p>
        </w:tc>
        <w:tc>
          <w:tcPr>
            <w:tcW w:w="1417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30.299,63</w:t>
            </w:r>
          </w:p>
        </w:tc>
        <w:tc>
          <w:tcPr>
            <w:tcW w:w="1597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14.897,00</w:t>
            </w:r>
          </w:p>
        </w:tc>
        <w:tc>
          <w:tcPr>
            <w:tcW w:w="1531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19.995,31</w:t>
            </w:r>
          </w:p>
        </w:tc>
        <w:tc>
          <w:tcPr>
            <w:tcW w:w="1238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9.825,71</w:t>
            </w:r>
          </w:p>
        </w:tc>
        <w:tc>
          <w:tcPr>
            <w:tcW w:w="953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65,98</w:t>
            </w: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I.1. RECETTES PROPRES DES RÉGIES FINANCIÈRES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19.835,81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9.747,33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I.1.1. DGI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11.553,19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5.677,25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I.1.2. DGDA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5.020,02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2.466,84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I.1.3. DGRAD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865 711,00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425,41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I.2. RECETTES PÉTROLIÈRES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396 880,00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195,03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5098" w:type="dxa"/>
            <w:gridSpan w:val="2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I.3. AUTRES RECETTES DU TRÉSOR PUBLIC (Dons, Autres)</w:t>
            </w: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159 504,00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78,38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  <w:shd w:val="clear" w:color="auto" w:fill="FFFF00"/>
          </w:tcPr>
          <w:p w:rsidR="00DB4FAF" w:rsidRPr="00EF3FDD" w:rsidRDefault="00281C70">
            <w:pPr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II. DÉPENSES</w:t>
            </w:r>
          </w:p>
        </w:tc>
        <w:tc>
          <w:tcPr>
            <w:tcW w:w="1417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30.299,63</w:t>
            </w:r>
          </w:p>
        </w:tc>
        <w:tc>
          <w:tcPr>
            <w:tcW w:w="1597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14.897,00</w:t>
            </w:r>
          </w:p>
        </w:tc>
        <w:tc>
          <w:tcPr>
            <w:tcW w:w="1531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22.441,32</w:t>
            </w:r>
          </w:p>
        </w:tc>
        <w:tc>
          <w:tcPr>
            <w:tcW w:w="1238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11.027,68</w:t>
            </w:r>
          </w:p>
        </w:tc>
        <w:tc>
          <w:tcPr>
            <w:tcW w:w="953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74,323</w:t>
            </w: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II.1. RÉMUNÉRATION</w:t>
            </w:r>
          </w:p>
        </w:tc>
        <w:tc>
          <w:tcPr>
            <w:tcW w:w="1417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7.673,72</w:t>
            </w:r>
          </w:p>
        </w:tc>
        <w:tc>
          <w:tcPr>
            <w:tcW w:w="1597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3.772,72</w:t>
            </w: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7.131,51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3.506,15</w:t>
            </w:r>
          </w:p>
        </w:tc>
        <w:tc>
          <w:tcPr>
            <w:tcW w:w="953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94,59</w:t>
            </w: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II.2 .Intérêt sur la créance de la BCC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85147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41,84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II.3. AUTRES DÉPENSES COURANTES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4.525,47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2.223,82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II.4. DÉPENSES EN CAPITAL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2.289,65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1.125,14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II.5 SUBVENTION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2.132,53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1.047,93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33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II.6 DEPENSES EXCEPTIONNELLES</w:t>
            </w:r>
          </w:p>
        </w:tc>
        <w:tc>
          <w:tcPr>
            <w:tcW w:w="1417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1.224, 00</w:t>
            </w:r>
          </w:p>
        </w:tc>
        <w:tc>
          <w:tcPr>
            <w:tcW w:w="1597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 xml:space="preserve">601 769 911,50   </w:t>
            </w: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4.985,83   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2.450,51</w:t>
            </w:r>
          </w:p>
        </w:tc>
        <w:tc>
          <w:tcPr>
            <w:tcW w:w="953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407,34</w:t>
            </w:r>
          </w:p>
        </w:tc>
      </w:tr>
      <w:tr w:rsidR="00DB4FAF" w:rsidTr="00EF3FDD">
        <w:trPr>
          <w:trHeight w:val="253"/>
        </w:trPr>
        <w:tc>
          <w:tcPr>
            <w:tcW w:w="3681" w:type="dxa"/>
          </w:tcPr>
          <w:p w:rsidR="00DB4FAF" w:rsidRDefault="00281C70">
            <w:pPr>
              <w:rPr>
                <w:color w:val="000000"/>
              </w:rPr>
            </w:pPr>
            <w:r>
              <w:rPr>
                <w:color w:val="000000"/>
              </w:rPr>
              <w:t>II.7. AUTRES DÉPENSES</w:t>
            </w:r>
          </w:p>
        </w:tc>
        <w:tc>
          <w:tcPr>
            <w:tcW w:w="1417" w:type="dxa"/>
          </w:tcPr>
          <w:p w:rsidR="00DB4FAF" w:rsidRDefault="00DB4FAF">
            <w:pPr>
              <w:rPr>
                <w:color w:val="000000"/>
              </w:rPr>
            </w:pP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1.291,16</w:t>
            </w:r>
          </w:p>
        </w:tc>
        <w:tc>
          <w:tcPr>
            <w:tcW w:w="1238" w:type="dxa"/>
          </w:tcPr>
          <w:p w:rsidR="00DB4FAF" w:rsidRDefault="00281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634,48</w:t>
            </w: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3681" w:type="dxa"/>
            <w:shd w:val="clear" w:color="auto" w:fill="FFFF00"/>
          </w:tcPr>
          <w:p w:rsidR="00DB4FAF" w:rsidRPr="00EF3FDD" w:rsidRDefault="00281C70">
            <w:pPr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SOLDE</w:t>
            </w:r>
          </w:p>
        </w:tc>
        <w:tc>
          <w:tcPr>
            <w:tcW w:w="1417" w:type="dxa"/>
            <w:shd w:val="clear" w:color="auto" w:fill="FFFF00"/>
          </w:tcPr>
          <w:p w:rsidR="00DB4FAF" w:rsidRPr="00EF3FDD" w:rsidRDefault="00DB4FAF">
            <w:pPr>
              <w:rPr>
                <w:b/>
                <w:color w:val="000000"/>
              </w:rPr>
            </w:pPr>
          </w:p>
        </w:tc>
        <w:tc>
          <w:tcPr>
            <w:tcW w:w="1597" w:type="dxa"/>
            <w:shd w:val="clear" w:color="auto" w:fill="FFFF00"/>
          </w:tcPr>
          <w:p w:rsidR="00DB4FAF" w:rsidRPr="00EF3FDD" w:rsidRDefault="00DB4FA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31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2.446,00</w:t>
            </w:r>
          </w:p>
        </w:tc>
        <w:tc>
          <w:tcPr>
            <w:tcW w:w="1238" w:type="dxa"/>
            <w:shd w:val="clear" w:color="auto" w:fill="FFFF00"/>
          </w:tcPr>
          <w:p w:rsidR="00DB4FAF" w:rsidRPr="00EF3FDD" w:rsidRDefault="00281C70">
            <w:pPr>
              <w:jc w:val="right"/>
              <w:rPr>
                <w:b/>
                <w:color w:val="000000"/>
              </w:rPr>
            </w:pPr>
            <w:r w:rsidRPr="00EF3FDD">
              <w:rPr>
                <w:b/>
                <w:color w:val="000000"/>
              </w:rPr>
              <w:t>1.201,97</w:t>
            </w:r>
          </w:p>
        </w:tc>
        <w:tc>
          <w:tcPr>
            <w:tcW w:w="953" w:type="dxa"/>
            <w:shd w:val="clear" w:color="auto" w:fill="FFFF00"/>
          </w:tcPr>
          <w:p w:rsidR="00DB4FAF" w:rsidRPr="00EF3FDD" w:rsidRDefault="00DB4FAF">
            <w:pPr>
              <w:jc w:val="right"/>
              <w:rPr>
                <w:b/>
                <w:color w:val="000000"/>
              </w:rPr>
            </w:pPr>
          </w:p>
        </w:tc>
      </w:tr>
      <w:tr w:rsidR="00DB4FAF" w:rsidTr="00EF3FDD">
        <w:trPr>
          <w:trHeight w:val="253"/>
        </w:trPr>
        <w:tc>
          <w:tcPr>
            <w:tcW w:w="5098" w:type="dxa"/>
            <w:gridSpan w:val="2"/>
          </w:tcPr>
          <w:p w:rsidR="00DB4FAF" w:rsidRDefault="00281C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Taux budgétaire  fin période 2.034 FC/ 1USD</w:t>
            </w:r>
          </w:p>
        </w:tc>
        <w:tc>
          <w:tcPr>
            <w:tcW w:w="1597" w:type="dxa"/>
          </w:tcPr>
          <w:p w:rsidR="00DB4FAF" w:rsidRDefault="00DB4FA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31" w:type="dxa"/>
          </w:tcPr>
          <w:p w:rsidR="00DB4FAF" w:rsidRDefault="00DB4FA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238" w:type="dxa"/>
          </w:tcPr>
          <w:p w:rsidR="00DB4FAF" w:rsidRDefault="00DB4FAF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53" w:type="dxa"/>
          </w:tcPr>
          <w:p w:rsidR="00DB4FAF" w:rsidRDefault="00DB4FAF">
            <w:pPr>
              <w:jc w:val="right"/>
              <w:rPr>
                <w:color w:val="000000"/>
              </w:rPr>
            </w:pPr>
          </w:p>
        </w:tc>
      </w:tr>
    </w:tbl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Source : BCC</w:t>
      </w:r>
    </w:p>
    <w:p w:rsidR="00305942" w:rsidRDefault="00305942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tableau ci-haut renseigne ce qui suit : </w:t>
      </w:r>
    </w:p>
    <w:p w:rsidR="00DB4FAF" w:rsidRDefault="00305942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29 décembre 2023, le Gouvernement </w:t>
      </w:r>
      <w:r w:rsidR="00CF2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la RDC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a mobilisé 9,8 milliards de dollars américains contre les prévisions de 14,8 milliards $, soit un taux de réalisation de 65,9%. Ceci dégage une contreperformance de 5 milliards $ non captés au cours de l’exercice fis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 susmentionné. CREFDL rappelle que les recettes inscrites dans la loi des finances de l’année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constituent le minima à recouvrer. La contreperformance des régies financières</w:t>
      </w:r>
      <w:r w:rsidR="00243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enregistrée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terme de l’exercice fiscale 2023 est une faute de gestion</w:t>
      </w:r>
      <w:r w:rsidR="002431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susceptible des san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ctions conformément à l’article 129 de la loi  n°11/011 DU 13 Juillet 2011 relative aux finances publiques;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S'agissant des dépenses, l’Etat a dépensé 11,0 milliards </w:t>
      </w:r>
      <w:r w:rsidR="000E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 cours de l’exercice 2023, contre les prévisions de 14,8 milliards $. Ces opérations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enseignent que les dépenses non effectuées au cours de cette période s’élèvent à 3,8 milliards $. En comparant le volume des recettes réalisées et les dép</w:t>
      </w:r>
      <w:r w:rsidR="000E6723">
        <w:rPr>
          <w:rFonts w:ascii="Times New Roman" w:eastAsia="Times New Roman" w:hAnsi="Times New Roman" w:cs="Times New Roman"/>
          <w:color w:val="000000"/>
          <w:sz w:val="24"/>
          <w:szCs w:val="24"/>
        </w:rPr>
        <w:t>enses effectuées, il se dégage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déficit budgétaire de l’ordre de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 milliard $, une première depuis les réformes des finances publiques intervenues en 2011. 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déficit </w:t>
      </w:r>
      <w:r w:rsidR="00EF3FDD">
        <w:rPr>
          <w:rFonts w:ascii="Times New Roman" w:eastAsia="Times New Roman" w:hAnsi="Times New Roman" w:cs="Times New Roman"/>
          <w:color w:val="000000"/>
          <w:sz w:val="24"/>
          <w:szCs w:val="24"/>
        </w:rPr>
        <w:t>budgétaire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occasionné une hausse vertigineuse des emprunts sur le marché intérieur;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No</w:t>
      </w:r>
      <w:r w:rsidR="008B1CA2">
        <w:rPr>
          <w:rFonts w:ascii="Times New Roman" w:eastAsia="Times New Roman" w:hAnsi="Times New Roman" w:cs="Times New Roman"/>
          <w:sz w:val="24"/>
          <w:szCs w:val="24"/>
        </w:rPr>
        <w:t xml:space="preserve">us constatons 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hausse </w:t>
      </w:r>
      <w:r w:rsidR="008B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vertigineuse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 dé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penses exceptionnelles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Ces dépenses </w:t>
      </w:r>
      <w:r w:rsidR="008B1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ont atteint un montant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2,4 milliards $ contre les prévisions arrêtées de 601,7 millions $</w:t>
      </w:r>
      <w:r w:rsidR="008B1CA2">
        <w:rPr>
          <w:rFonts w:ascii="Times New Roman" w:eastAsia="Times New Roman" w:hAnsi="Times New Roman" w:cs="Times New Roman"/>
          <w:color w:val="000000"/>
          <w:sz w:val="24"/>
          <w:szCs w:val="24"/>
        </w:rPr>
        <w:t>, enregistrant un taux d’exécution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407,3%. Selon le plan de trésorerie</w:t>
      </w:r>
      <w:r w:rsidR="000E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(PTR)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pouvoir 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ral, ces fonds ont financé les élections, l’armée et les dépenses humanitaires. CREFDL </w:t>
      </w:r>
      <w:r w:rsidR="000E6723">
        <w:rPr>
          <w:rFonts w:ascii="Times New Roman" w:eastAsia="Times New Roman" w:hAnsi="Times New Roman" w:cs="Times New Roman"/>
          <w:color w:val="000000"/>
          <w:sz w:val="24"/>
          <w:szCs w:val="24"/>
        </w:rPr>
        <w:t>fait remarquer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ici la violation des articles 39, 40 et 41 de la loi relative aux finances publiques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>. R</w:t>
      </w:r>
      <w:r w:rsidR="000E6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elevons que les élections ne peuvent être 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>éligibles au titre des dépenses exceptionnelles, car elles sont programmées par la constitution de la RDC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DB4FAF" w:rsidRDefault="00532BCB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11574">
        <w:rPr>
          <w:rFonts w:ascii="Times New Roman" w:eastAsia="Times New Roman" w:hAnsi="Times New Roman" w:cs="Times New Roman"/>
          <w:color w:val="000000"/>
          <w:sz w:val="24"/>
          <w:szCs w:val="24"/>
        </w:rPr>
        <w:t>Le déficit enregistré en 2023 se justifie suite au n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on-respect du pacte de stabilité du cadre macr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>o-économique et monétaire</w:t>
      </w:r>
      <w:r w:rsidR="00A115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bookmarkStart w:id="1" w:name="_GoBack"/>
      <w:bookmarkEnd w:id="1"/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consommation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des crédits budgétaires au-delà de ses ressources disponibles. Ce</w:t>
      </w:r>
      <w:r w:rsidR="00D11DF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ci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entraîne la dépré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ciation du Franc Congolais ainsi que l’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instabilité du taux de change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 </w:t>
      </w:r>
    </w:p>
    <w:p w:rsidR="00DB4FAF" w:rsidRDefault="00532BCB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Cette mauvaise gestion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porté un coup dur sur les finances publiques de la RDC. Au 1er mars 2024, les recettes de l’État se sont chiffrées à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3 893,1 milliards de CDF  (1,53 </w:t>
      </w:r>
      <w:r w:rsidR="00EF3FDD">
        <w:rPr>
          <w:rFonts w:ascii="Times New Roman" w:eastAsia="Times New Roman" w:hAnsi="Times New Roman" w:cs="Times New Roman"/>
          <w:color w:val="000000"/>
          <w:sz w:val="24"/>
          <w:szCs w:val="24"/>
        </w:rPr>
        <w:t>milliard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$) et les dépenses ont atteint 3.839,2 milliards d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CDF (1,51 milliard $). Ce, conformément au PTR et PEB. Pourtant, les prévisions linéaires renseignent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les recettes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les dépenses attendues au cours de cette période devraient se situer à hauteur de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2,4 milliards $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. Il convient de noter qu’a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départ, le principe de la sincérité insiste </w:t>
      </w:r>
      <w:r w:rsidR="00EF3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 le fait que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les comptes du pouvoir central, de la province et de l’Entité Territoriale Décentralisée doivent être réguliers, sincères et refléter une image fidèle de</w:t>
      </w:r>
      <w:r w:rsidR="00EF3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</w:t>
      </w:r>
      <w:r w:rsidR="007B75D4">
        <w:rPr>
          <w:rFonts w:ascii="Times New Roman" w:eastAsia="Times New Roman" w:hAnsi="Times New Roman" w:cs="Times New Roman"/>
          <w:color w:val="000000"/>
          <w:sz w:val="24"/>
          <w:szCs w:val="24"/>
        </w:rPr>
        <w:t>ion financière et patrimoniale (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Art 11 de la L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OFIP</w:t>
      </w:r>
      <w:r w:rsidR="007B75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</w:p>
    <w:p w:rsidR="001A3808" w:rsidRDefault="00532BCB" w:rsidP="001A3808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>. L’absence d’un collectif budgétaire fait persister des mauvaises pratiques budgétaires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jette un discrédit </w:t>
      </w:r>
      <w:r w:rsidR="005B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 </w:t>
      </w:r>
      <w:r w:rsidR="001A3808">
        <w:rPr>
          <w:rFonts w:ascii="Times New Roman" w:eastAsia="Times New Roman" w:hAnsi="Times New Roman" w:cs="Times New Roman"/>
          <w:color w:val="000000"/>
          <w:sz w:val="24"/>
          <w:szCs w:val="24"/>
        </w:rPr>
        <w:t>la gouvernance financière en RDC.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Recommandations</w:t>
      </w:r>
    </w:p>
    <w:p w:rsidR="00EF3FDD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combattre la persistance des mauvaises pratiques budgétaires, CREFDL recommande: 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F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Au Gouvernement</w:t>
      </w:r>
      <w:r w:rsidR="00EF3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:</w:t>
      </w:r>
    </w:p>
    <w:p w:rsidR="00DB4FAF" w:rsidRDefault="00281C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Rationaliser les dépenses publiques afin de répondre aux priorités de la population ;</w:t>
      </w:r>
    </w:p>
    <w:p w:rsidR="00DB4FAF" w:rsidRDefault="00281C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Faire le suivi des recettes non réalisées en 2023 afin d’en assurer le recouvrement au cours de l’exercice budgétaire 2024;</w:t>
      </w:r>
    </w:p>
    <w:p w:rsidR="00DB4FAF" w:rsidRDefault="00EF3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Respecter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pacte de stabilité du cadre macro-économique signé en Août 2020;</w:t>
      </w:r>
    </w:p>
    <w:p w:rsidR="00DB4FAF" w:rsidRDefault="00281C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Éviter tout gonflement des chiffres au risque de donn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l’impression que les recettes publiques ont connu un accroissement alors que les comptes du trésor sont déficitaires;</w:t>
      </w:r>
    </w:p>
    <w:p w:rsidR="00DB4FAF" w:rsidRDefault="00D8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Elaborer un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collectif comme seul moyen susceptible de modifier la Loi des finances initiale au cours de l’exercice budgétaire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chaque fois qu’un déséquilibre se fera </w:t>
      </w:r>
      <w:r w:rsidR="0046404C">
        <w:rPr>
          <w:rFonts w:ascii="Times New Roman" w:eastAsia="Times New Roman" w:hAnsi="Times New Roman" w:cs="Times New Roman"/>
          <w:color w:val="000000"/>
          <w:sz w:val="24"/>
          <w:szCs w:val="24"/>
        </w:rPr>
        <w:t>remarqué</w:t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 </w:t>
      </w:r>
      <w:r w:rsidRPr="00664C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Cour des Comptes</w:t>
      </w:r>
    </w:p>
    <w:p w:rsidR="00DB4FAF" w:rsidRDefault="00281C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Effectuer un Audit complet de la comptabilité des recettes réalisées en 2023 pour besoin de traçabilité et d’exhaustivité budgétaire.</w:t>
      </w:r>
    </w:p>
    <w:p w:rsidR="00DB4FAF" w:rsidRDefault="00DB4FAF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FAF" w:rsidRDefault="00FC318E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E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51CCAF" wp14:editId="0E2649A4">
            <wp:simplePos x="0" y="0"/>
            <wp:positionH relativeFrom="margin">
              <wp:posOffset>3838575</wp:posOffset>
            </wp:positionH>
            <wp:positionV relativeFrom="margin">
              <wp:posOffset>2383790</wp:posOffset>
            </wp:positionV>
            <wp:extent cx="2466975" cy="1095375"/>
            <wp:effectExtent l="0" t="0" r="0" b="9525"/>
            <wp:wrapNone/>
            <wp:docPr id="4" name="Image 1" descr="Description : C:\Users\USER\Desktop\Signature él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USER\Desktop\Signature élc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FBFD"/>
                        </a:clrFrom>
                        <a:clrTo>
                          <a:srgbClr val="F1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C70">
        <w:rPr>
          <w:rFonts w:ascii="Times New Roman" w:eastAsia="Times New Roman" w:hAnsi="Times New Roman" w:cs="Times New Roman"/>
          <w:color w:val="000000"/>
          <w:sz w:val="24"/>
          <w:szCs w:val="24"/>
        </w:rPr>
        <w:t>Valery MADIANGA</w:t>
      </w:r>
    </w:p>
    <w:p w:rsidR="00DB4FAF" w:rsidRDefault="00281C70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Coordinateur national</w:t>
      </w:r>
    </w:p>
    <w:p w:rsidR="00FC318E" w:rsidRDefault="00FC318E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FAF" w:rsidRDefault="00DB4FAF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FAF" w:rsidRDefault="00DB4FAF">
      <w:pPr>
        <w:spacing w:before="120" w:line="240" w:lineRule="auto"/>
      </w:pPr>
    </w:p>
    <w:p w:rsidR="00DB4FAF" w:rsidRDefault="00DB4F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B4FA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70" w:rsidRDefault="00281C70">
      <w:pPr>
        <w:spacing w:after="0" w:line="240" w:lineRule="auto"/>
      </w:pPr>
      <w:r>
        <w:separator/>
      </w:r>
    </w:p>
  </w:endnote>
  <w:endnote w:type="continuationSeparator" w:id="0">
    <w:p w:rsidR="00281C70" w:rsidRDefault="0028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AF" w:rsidRDefault="0028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F3FDD">
      <w:rPr>
        <w:color w:val="000000"/>
      </w:rPr>
      <w:fldChar w:fldCharType="separate"/>
    </w:r>
    <w:r w:rsidR="0077630E">
      <w:rPr>
        <w:noProof/>
        <w:color w:val="000000"/>
      </w:rPr>
      <w:t>3</w:t>
    </w:r>
    <w:r>
      <w:rPr>
        <w:color w:val="000000"/>
      </w:rPr>
      <w:fldChar w:fldCharType="end"/>
    </w:r>
  </w:p>
  <w:p w:rsidR="00DB4FAF" w:rsidRDefault="00DB4F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70" w:rsidRDefault="00281C70">
      <w:pPr>
        <w:spacing w:after="0" w:line="240" w:lineRule="auto"/>
      </w:pPr>
      <w:r>
        <w:separator/>
      </w:r>
    </w:p>
  </w:footnote>
  <w:footnote w:type="continuationSeparator" w:id="0">
    <w:p w:rsidR="00281C70" w:rsidRDefault="0028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AF" w:rsidRDefault="0028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3pt;height:330.4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AF" w:rsidRDefault="0028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67.3pt;height:330.45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AF" w:rsidRDefault="0028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67.3pt;height:330.4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056B"/>
    <w:multiLevelType w:val="multilevel"/>
    <w:tmpl w:val="29A61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174B03"/>
    <w:multiLevelType w:val="multilevel"/>
    <w:tmpl w:val="DEAC1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AF"/>
    <w:rsid w:val="000E6723"/>
    <w:rsid w:val="001A3808"/>
    <w:rsid w:val="002431C3"/>
    <w:rsid w:val="0025364E"/>
    <w:rsid w:val="00281C70"/>
    <w:rsid w:val="00305942"/>
    <w:rsid w:val="0046404C"/>
    <w:rsid w:val="00532BCB"/>
    <w:rsid w:val="005B6ECE"/>
    <w:rsid w:val="005C54CA"/>
    <w:rsid w:val="00664CB7"/>
    <w:rsid w:val="0077630E"/>
    <w:rsid w:val="007B75D4"/>
    <w:rsid w:val="008B1CA2"/>
    <w:rsid w:val="00925826"/>
    <w:rsid w:val="00A11574"/>
    <w:rsid w:val="00B45215"/>
    <w:rsid w:val="00BD22BF"/>
    <w:rsid w:val="00CF227C"/>
    <w:rsid w:val="00D11DF5"/>
    <w:rsid w:val="00D214BA"/>
    <w:rsid w:val="00D86EC7"/>
    <w:rsid w:val="00DB4FAF"/>
    <w:rsid w:val="00DB617E"/>
    <w:rsid w:val="00DC4588"/>
    <w:rsid w:val="00EF3FDD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FCEBE3-C5A3-48B8-AB63-D7A977F2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E2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E21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3E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21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3E2"/>
    <w:rPr>
      <w:lang w:val="en-US"/>
    </w:rPr>
  </w:style>
  <w:style w:type="character" w:styleId="Lienhypertexte">
    <w:name w:val="Hyperlink"/>
    <w:basedOn w:val="Policepardfaut"/>
    <w:uiPriority w:val="99"/>
    <w:unhideWhenUsed/>
    <w:rsid w:val="00E213E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E2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0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u+5YYMd4nZXf6ahiUAXtan8XQ==">CgMxLjAyCGguZ2pkZ3hzOAByITFxTW9haDd6V0F6R0pTMmZDSFdub01hQVhFalcwOEF5ag==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valery</dc:creator>
  <cp:lastModifiedBy>valery</cp:lastModifiedBy>
  <cp:revision>2</cp:revision>
  <dcterms:created xsi:type="dcterms:W3CDTF">2024-03-21T06:19:00Z</dcterms:created>
  <dcterms:modified xsi:type="dcterms:W3CDTF">2024-03-21T06:19:00Z</dcterms:modified>
</cp:coreProperties>
</file>